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left"/>
              <w:rPr>
                <w:rFonts w:ascii="宋体" w:hAnsi="宋体" w:eastAsia="宋体"/>
                <w:sz w:val="21"/>
                <w:szCs w:val="21"/>
              </w:rPr>
            </w:pPr>
            <w:bookmarkStart w:id="0" w:name="_GoBack"/>
            <w:bookmarkEnd w:id="0"/>
            <w:r>
              <w:rPr>
                <w:rFonts w:hint="eastAsia" w:ascii="宋体" w:hAnsi="宋体" w:eastAsia="宋体"/>
                <w:sz w:val="21"/>
                <w:szCs w:val="21"/>
              </w:rPr>
              <w:t>山东滨化瑞成化工有限公司三氯乙烯装置副产有机氯化物溶剂（Ⅰ型）质量提升项目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B80D9F"/>
    <w:rsid w:val="00E349FD"/>
    <w:rsid w:val="44EB321A"/>
    <w:rsid w:val="4B27379C"/>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84</Words>
  <Characters>483</Characters>
  <Lines>4</Lines>
  <Paragraphs>1</Paragraphs>
  <TotalTime>2</TotalTime>
  <ScaleCrop>false</ScaleCrop>
  <LinksUpToDate>false</LinksUpToDate>
  <CharactersWithSpaces>566</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云姗</cp:lastModifiedBy>
  <dcterms:modified xsi:type="dcterms:W3CDTF">2019-12-23T02:29:21Z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